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515620</wp:posOffset>
            </wp:positionV>
            <wp:extent cx="7576820" cy="119761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1713230</wp:posOffset>
            </wp:positionV>
            <wp:extent cx="7576820" cy="11982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2911475</wp:posOffset>
            </wp:positionV>
            <wp:extent cx="7576820" cy="119761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4109085</wp:posOffset>
            </wp:positionV>
            <wp:extent cx="7576820" cy="1198245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5307330</wp:posOffset>
            </wp:positionV>
            <wp:extent cx="7576820" cy="1197610"/>
            <wp:effectExtent l="1905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155" w:lineRule="exact"/>
        <w:ind w:left="2342" w:right="-142"/>
        <w:rPr>
          <w:rFonts w:ascii="Tahoma" w:hAnsi="Tahoma" w:cs="Times New Roman"/>
          <w:b/>
          <w:color w:val="000000" w:themeColor="text1"/>
          <w:sz w:val="96"/>
          <w:szCs w:val="24"/>
        </w:rPr>
      </w:pPr>
      <w:r>
        <w:rPr>
          <w:rFonts w:ascii="Tahoma" w:hAnsi="Tahoma" w:cs="Times New Roman"/>
          <w:b/>
          <w:color w:val="000000" w:themeColor="text1"/>
          <w:sz w:val="96"/>
          <w:szCs w:val="24"/>
        </w:rPr>
        <w:t>STANDAR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155" w:lineRule="exact"/>
        <w:ind w:left="1142" w:right="-142"/>
        <w:rPr>
          <w:rFonts w:ascii="Tahoma" w:hAnsi="Tahoma" w:cs="Times New Roman"/>
          <w:b/>
          <w:color w:val="000000" w:themeColor="text1"/>
          <w:sz w:val="96"/>
          <w:szCs w:val="24"/>
        </w:rPr>
      </w:pPr>
      <w:r>
        <w:rPr>
          <w:rFonts w:ascii="Tahoma" w:hAnsi="Tahoma" w:cs="Times New Roman"/>
          <w:b/>
          <w:color w:val="000000" w:themeColor="text1"/>
          <w:sz w:val="96"/>
          <w:szCs w:val="24"/>
        </w:rPr>
        <w:t>OPERASIONAL</w:t>
      </w:r>
    </w:p>
    <w:p w:rsidR="00C06936" w:rsidRDefault="000A585F">
      <w:pPr>
        <w:widowControl w:val="0"/>
        <w:tabs>
          <w:tab w:val="left" w:pos="8982"/>
        </w:tabs>
        <w:autoSpaceDE w:val="0"/>
        <w:autoSpaceDN w:val="0"/>
        <w:adjustRightInd w:val="0"/>
        <w:spacing w:after="0" w:line="1155" w:lineRule="exact"/>
        <w:ind w:left="418" w:right="-142"/>
        <w:rPr>
          <w:rFonts w:ascii="Tahoma" w:hAnsi="Tahoma" w:cs="Times New Roman"/>
          <w:color w:val="000000" w:themeColor="text1"/>
          <w:sz w:val="96"/>
          <w:szCs w:val="24"/>
        </w:rPr>
      </w:pPr>
      <w:r>
        <w:rPr>
          <w:rFonts w:ascii="Tahoma" w:hAnsi="Tahoma" w:cs="Times New Roman"/>
          <w:b/>
          <w:color w:val="000000" w:themeColor="text1"/>
          <w:sz w:val="96"/>
          <w:szCs w:val="24"/>
        </w:rPr>
        <w:t>PROSEDUR (SOP)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155" w:lineRule="exact"/>
        <w:ind w:left="1747" w:right="-142"/>
        <w:rPr>
          <w:rFonts w:ascii="Tahoma" w:hAnsi="Tahoma" w:cs="Times New Roman"/>
          <w:b/>
          <w:color w:val="000000"/>
          <w:sz w:val="96"/>
          <w:szCs w:val="24"/>
        </w:rPr>
      </w:pPr>
      <w:r>
        <w:rPr>
          <w:rFonts w:ascii="Tahoma" w:hAnsi="Tahoma" w:cs="Times New Roman"/>
          <w:b/>
          <w:color w:val="000000"/>
          <w:sz w:val="96"/>
          <w:szCs w:val="24"/>
        </w:rPr>
        <w:t>PELAYANAN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155" w:lineRule="exact"/>
        <w:ind w:left="1786" w:right="-142"/>
        <w:rPr>
          <w:rFonts w:ascii="Tahoma" w:hAnsi="Tahoma" w:cs="Times New Roman"/>
          <w:b/>
          <w:color w:val="000000"/>
          <w:sz w:val="96"/>
          <w:szCs w:val="24"/>
        </w:rPr>
      </w:pPr>
      <w:r>
        <w:rPr>
          <w:rFonts w:ascii="Tahoma" w:hAnsi="Tahoma" w:cs="Times New Roman"/>
          <w:b/>
          <w:color w:val="000000"/>
          <w:sz w:val="96"/>
          <w:szCs w:val="24"/>
        </w:rPr>
        <w:t>INFORMASI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155" w:lineRule="exact"/>
        <w:ind w:left="2842" w:right="-142"/>
        <w:rPr>
          <w:rFonts w:ascii="Tahoma" w:hAnsi="Tahoma" w:cs="Times New Roman"/>
          <w:b/>
          <w:color w:val="000000"/>
          <w:sz w:val="96"/>
          <w:szCs w:val="24"/>
        </w:rPr>
      </w:pPr>
      <w:r>
        <w:rPr>
          <w:rFonts w:ascii="Tahoma" w:hAnsi="Tahoma" w:cs="Times New Roman"/>
          <w:b/>
          <w:color w:val="000000"/>
          <w:sz w:val="96"/>
          <w:szCs w:val="24"/>
        </w:rPr>
        <w:t>PUBLIK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41910</wp:posOffset>
            </wp:positionV>
            <wp:extent cx="2750185" cy="3769995"/>
            <wp:effectExtent l="19050" t="0" r="0" b="0"/>
            <wp:wrapNone/>
            <wp:docPr id="7" name="Picture 1" descr="C:\Users\Microsoft\Downloads\LOGO KABUPATEN LUMAJ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:\Users\Microsoft\Downloads\LOGO KABUPATEN LUMAJANG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029" cy="376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936" w:rsidRDefault="00C0693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  <w:r>
        <w:rPr>
          <w:rFonts w:ascii="Tahoma" w:hAnsi="Tahoma" w:cs="Times New Roman"/>
          <w:b/>
          <w:color w:val="000000"/>
          <w:sz w:val="34"/>
          <w:szCs w:val="24"/>
        </w:rPr>
        <w:t xml:space="preserve">PEJABAT PENGELOLA </w:t>
      </w:r>
      <w:proofErr w:type="gramStart"/>
      <w:r>
        <w:rPr>
          <w:rFonts w:ascii="Tahoma" w:hAnsi="Tahoma" w:cs="Times New Roman"/>
          <w:b/>
          <w:color w:val="000000"/>
          <w:sz w:val="34"/>
          <w:szCs w:val="24"/>
        </w:rPr>
        <w:t>INFORMASI  DAN</w:t>
      </w:r>
      <w:proofErr w:type="gramEnd"/>
      <w:r>
        <w:rPr>
          <w:rFonts w:ascii="Tahoma" w:hAnsi="Tahoma" w:cs="Times New Roman"/>
          <w:b/>
          <w:color w:val="000000"/>
          <w:sz w:val="34"/>
          <w:szCs w:val="24"/>
        </w:rPr>
        <w:t xml:space="preserve"> DOKUMENTASI (PPID) PEMBANTU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  <w:r>
        <w:rPr>
          <w:rFonts w:ascii="Tahoma" w:hAnsi="Tahoma" w:cs="Times New Roman"/>
          <w:b/>
          <w:color w:val="000000"/>
          <w:sz w:val="34"/>
          <w:szCs w:val="24"/>
        </w:rPr>
        <w:t xml:space="preserve">KELURAHAN </w:t>
      </w:r>
      <w:r w:rsidR="00362B53">
        <w:rPr>
          <w:rFonts w:ascii="Tahoma" w:hAnsi="Tahoma" w:cs="Times New Roman"/>
          <w:b/>
          <w:color w:val="000000"/>
          <w:sz w:val="34"/>
          <w:szCs w:val="24"/>
        </w:rPr>
        <w:t>ROGOTRUNAN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  <w:r>
        <w:rPr>
          <w:rFonts w:ascii="Tahoma" w:hAnsi="Tahoma" w:cs="Times New Roman"/>
          <w:b/>
          <w:color w:val="000000"/>
          <w:sz w:val="34"/>
          <w:szCs w:val="24"/>
        </w:rPr>
        <w:t xml:space="preserve"> KABUPATEN LUMAJANG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6936" w:rsidSect="004A19DB">
          <w:pgSz w:w="12240" w:h="20160"/>
          <w:pgMar w:top="851" w:right="720" w:bottom="660" w:left="1440" w:header="0" w:footer="0" w:gutter="0"/>
          <w:cols w:space="720"/>
        </w:sectPr>
      </w:pPr>
    </w:p>
    <w:p w:rsidR="00C06936" w:rsidRDefault="000A58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5" w:lineRule="exact"/>
        <w:ind w:left="0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>LATAR BELAKANG</w:t>
      </w:r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Hak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memperoleh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merupakan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asasi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manusia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keterbukaan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merupakan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salah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satu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ciri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penting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negara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demokratis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menjunjung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tinggi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kedaulatan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rakyat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9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rangka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mewujudkan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keterbukaan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tersebut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Pemerintah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menerbitkan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Nomor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14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Tahun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2008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tentang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Keterbukaan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adanya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diharapkan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partisipasi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terhadap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penyelenggaraan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negara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semakin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optimal,  yang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akhirnya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mendorong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terwujudnya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penyelenggaraan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Negara 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transparan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efektif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efisien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akuntabel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dipertanggungjawabkan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Nomor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14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Tahun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2008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jaminan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setiap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warga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negara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untuk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memperoleh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mengenai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kebijakan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Masyarakat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secara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individu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institusi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meminta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memperoleh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dibutuhkan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badan-badan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7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landasan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hukum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terhadap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setiap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orang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untuk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memperoleh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dimana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setiap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mempunyai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kewajiban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menyediakan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melayani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secara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waktu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biaya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ringan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cara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sederhana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Terkait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PPID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menetapkan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Standar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Operasional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Prosedur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rangka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penyelenggaraan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before="255" w:after="0" w:line="285" w:lineRule="exact"/>
        <w:ind w:right="-38"/>
        <w:rPr>
          <w:rFonts w:ascii="Tahoma" w:hAnsi="Tahoma" w:cs="Times New Roman"/>
          <w:b/>
          <w:color w:val="FF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</w:r>
      <w:r>
        <w:rPr>
          <w:rFonts w:ascii="Tahoma" w:hAnsi="Tahoma" w:cs="Times New Roman"/>
          <w:b/>
          <w:sz w:val="24"/>
          <w:szCs w:val="24"/>
        </w:rPr>
        <w:t>DASAR HUKUM</w:t>
      </w:r>
      <w:r>
        <w:rPr>
          <w:rFonts w:ascii="Tahoma" w:hAnsi="Tahoma" w:cs="Times New Roman"/>
          <w:b/>
          <w:color w:val="FF0000"/>
          <w:sz w:val="24"/>
          <w:szCs w:val="24"/>
        </w:rPr>
        <w:t xml:space="preserve"> 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Undang-Undang Nomor 14 Tahun 2008 tentang Keterbukaan Informasi Publik (lembaran Negara Republik Indonesia Tahun 2008 Nomor 61, tambahan lembaran Negara Nomor 4846).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Undang-Undang Nomor 25 Tahun 2009 tentang Pelayanan Publik (lembaran Negara RI tahun 2009 nomor 112. Tambahan lembaran Negara Nomor 5038)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Undang-Undang Nomor 43 Tahun 2009 tentang Kearsipan (lembaran Negara Repulik Indonesia Tahun 2009 Nomor 152 , tambahan lembaran Negara Nomor 5071)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Peraturan Komisi Informasi Nomor 1 Tahun 2010 tentang Standart Layanan Informasi Publik.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Peraturan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Kabupaten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Lumajang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Nomor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8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Tahun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2016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tentang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Pelayanan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Publik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Peraturan Daerah Kabupaten Lumajang Nomor 15 Tahun 20</w:t>
      </w:r>
      <w:r>
        <w:rPr>
          <w:rFonts w:ascii="Tahoma" w:hAnsi="Tahoma" w:cs="Tahoma"/>
          <w:sz w:val="24"/>
          <w:szCs w:val="24"/>
          <w:lang w:val="en-US"/>
        </w:rPr>
        <w:t>16</w:t>
      </w:r>
      <w:r>
        <w:rPr>
          <w:rFonts w:ascii="Tahoma" w:hAnsi="Tahoma" w:cs="Tahoma"/>
          <w:sz w:val="24"/>
          <w:szCs w:val="24"/>
        </w:rPr>
        <w:t xml:space="preserve"> tentang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Pembentukan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Susunan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Perangkat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Daerah </w:t>
      </w:r>
      <w:r>
        <w:rPr>
          <w:rFonts w:ascii="Tahoma" w:hAnsi="Tahoma" w:cs="Tahoma"/>
          <w:sz w:val="24"/>
          <w:szCs w:val="24"/>
        </w:rPr>
        <w:t>;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Peraturan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Bupati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Lumajang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No 12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Tahun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2016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tentang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Pedoman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Pelayanan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Informasi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Dokumentasi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Lingkungan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Pemerintah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Kabupaten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Lumajang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;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Peraturan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Bupati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Lumajang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Nomor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72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Tahun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2016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tentang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Kedudukan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Susunan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Organisasi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Uraian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Tugas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Fungsi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serta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Kerja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Dinas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Komunikasi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Informatika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;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Keputusan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Bupati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Nomor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188.45/83/427.12/2016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tentang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Standar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Operasional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Prosedur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Pelayanan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Informasi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Publik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Pejabat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Pengelola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Informasi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Dokumentasi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Lingkungan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Pemerintah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Kabupaten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Lumajang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;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before="255"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III.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MAKSUD DAN TUJUAN  </w:t>
      </w:r>
    </w:p>
    <w:p w:rsidR="00C06936" w:rsidRDefault="000A58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55" w:after="0" w:line="285" w:lineRule="exact"/>
        <w:ind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Maksud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before="15" w:after="0" w:line="332" w:lineRule="exact"/>
        <w:ind w:left="108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Standar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Operasional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Prosedur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(SOP)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sebagai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acuan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mengenai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ruang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lingkup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tanggungjawab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wewenang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Pejabat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Pengelola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(PPID)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penyediaan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mekanisme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kegiatan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Tujuan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before="15" w:after="0" w:line="285" w:lineRule="exact"/>
        <w:ind w:left="1080" w:right="-38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Standar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Operasional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Prosedur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(SOP)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bertujuan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untuk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0" w:line="285" w:lineRule="exact"/>
        <w:ind w:left="1080"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Mendorong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terwujudnya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Keterbukaan</w:t>
      </w:r>
      <w:proofErr w:type="spellEnd"/>
    </w:p>
    <w:p w:rsidR="00C06936" w:rsidRDefault="000A585F">
      <w:pPr>
        <w:widowControl w:val="0"/>
        <w:autoSpaceDE w:val="0"/>
        <w:autoSpaceDN w:val="0"/>
        <w:adjustRightInd w:val="0"/>
        <w:spacing w:after="0" w:line="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secara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efektif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hak-hak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terhadap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berkualitas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terpenuhi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</w:p>
    <w:p w:rsidR="00C06936" w:rsidRDefault="000A58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85" w:lineRule="exact"/>
        <w:ind w:left="1418" w:right="-38" w:hanging="338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lastRenderedPageBreak/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standar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bagi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PPID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Dinas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Dinas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Komunikasi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Informatika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melaksanakan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.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5" w:after="0" w:line="285" w:lineRule="exact"/>
        <w:ind w:left="1440" w:right="-38" w:hanging="306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dilingkungan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>IV.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MAKLUMAT PELAYANAN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30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Maklumat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Kecamatan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: 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40" w:lineRule="auto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>“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Kecamatan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melayani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masyarakat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sesuai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standar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mengedepankan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transparansi</w:t>
      </w:r>
      <w:proofErr w:type="spellEnd"/>
      <w:r>
        <w:rPr>
          <w:rFonts w:ascii="Tahoma" w:hAnsi="Tahoma" w:cs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akuntabilitas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serta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peraturan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perundang-undangan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berlaku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.” </w:t>
      </w:r>
    </w:p>
    <w:p w:rsidR="00C06936" w:rsidRDefault="000A58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5" w:after="0" w:line="240" w:lineRule="auto"/>
        <w:ind w:left="0" w:right="-38" w:firstLine="0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 xml:space="preserve">       DESK LAYANAN INFORMASI PUBLIK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Calibri" w:hAnsi="Calibri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Untuk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melayani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kebutuhan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/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pengguna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PPID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langsung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desk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di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Jl. </w:t>
      </w:r>
      <w:proofErr w:type="gramStart"/>
      <w:r>
        <w:rPr>
          <w:rFonts w:ascii="Tahoma" w:hAnsi="Tahoma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Yani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No.10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.</w:t>
      </w:r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Selain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PPID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juga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langsung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media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antara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lain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telepon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(0334)  881940,  Email : kel.</w:t>
      </w:r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r>
        <w:rPr>
          <w:rFonts w:ascii="Tahoma" w:hAnsi="Tahoma" w:cs="Times New Roman"/>
          <w:color w:val="000000"/>
          <w:sz w:val="24"/>
          <w:szCs w:val="24"/>
        </w:rPr>
        <w:t>123@gmail.com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VI.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PROSEDUR PELAYANAN INFORMASI PUBLIK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4"/>
        </w:rPr>
        <w:drawing>
          <wp:anchor distT="0" distB="0" distL="114300" distR="114300" simplePos="0" relativeHeight="251664384" behindDoc="0" locked="0" layoutInCell="1" allowOverlap="1" wp14:anchorId="392364B6" wp14:editId="1DDB66EC">
            <wp:simplePos x="0" y="0"/>
            <wp:positionH relativeFrom="column">
              <wp:posOffset>482600</wp:posOffset>
            </wp:positionH>
            <wp:positionV relativeFrom="paragraph">
              <wp:posOffset>49530</wp:posOffset>
            </wp:positionV>
            <wp:extent cx="5149850" cy="3381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340" w:lineRule="exact"/>
        <w:ind w:left="840" w:right="759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Untuk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melaksanakan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perlu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didukung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Front Office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Back Office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.</w:t>
      </w:r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9"/>
        </w:numPr>
        <w:tabs>
          <w:tab w:val="left" w:pos="1048"/>
        </w:tabs>
        <w:autoSpaceDE w:val="0"/>
        <w:autoSpaceDN w:val="0"/>
        <w:adjustRightInd w:val="0"/>
        <w:spacing w:after="0" w:line="285" w:lineRule="exact"/>
        <w:ind w:left="81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ab/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Front Office,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meliputi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 </w:t>
      </w:r>
    </w:p>
    <w:p w:rsidR="00C06936" w:rsidRDefault="000A58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Desk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Langsung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Desk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Media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81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Back Office,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meliputi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: </w:t>
      </w:r>
    </w:p>
    <w:p w:rsidR="00C06936" w:rsidRDefault="000A58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Bidang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Bidang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Pengolah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Penyaji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</w:p>
    <w:p w:rsidR="00C06936" w:rsidRDefault="000A585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Bidang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Pengaduan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Penyelesaian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Sengketa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C06936" w:rsidRDefault="000A585F">
      <w:pPr>
        <w:spacing w:after="0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VII.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WAKTU PELAYANAN INFORMASI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608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permohonan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PPID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dilaksanakan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kerja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mulai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Senin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sampai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Jumat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ketentuan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waktu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sebagai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berikut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: </w:t>
      </w:r>
    </w:p>
    <w:p w:rsidR="00C06936" w:rsidRDefault="000A585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840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Senin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Kamis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1262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Jam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: 07.30 WIB - 15.30 WIB </w:t>
      </w:r>
    </w:p>
    <w:p w:rsidR="00C06936" w:rsidRDefault="000A58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1262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Istirahat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Shalat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: 12.00 WIB - 13.00 WIB </w:t>
      </w:r>
    </w:p>
    <w:p w:rsidR="00C06936" w:rsidRDefault="000A585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840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Jumat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1262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Jam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: 07.30 WIB - 1</w:t>
      </w:r>
      <w:r>
        <w:rPr>
          <w:rFonts w:ascii="Tahoma" w:hAnsi="Tahoma" w:cs="Times New Roman"/>
          <w:color w:val="000000"/>
          <w:sz w:val="24"/>
          <w:szCs w:val="24"/>
          <w:lang w:val="id-ID"/>
        </w:rPr>
        <w:t>5</w:t>
      </w:r>
      <w:r>
        <w:rPr>
          <w:rFonts w:ascii="Tahoma" w:hAnsi="Tahoma" w:cs="Times New Roman"/>
          <w:color w:val="000000"/>
          <w:sz w:val="24"/>
          <w:szCs w:val="24"/>
        </w:rPr>
        <w:t xml:space="preserve">.00 WIB </w:t>
      </w:r>
    </w:p>
    <w:p w:rsidR="00C06936" w:rsidRDefault="000A585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1262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  <w:lang w:val="id-ID"/>
        </w:rPr>
        <w:t xml:space="preserve"> Istirahat, Sholat, Makan :12.00 WIB - 13.00 WIB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4A19DB" w:rsidRPr="004A19DB" w:rsidRDefault="004A19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lastRenderedPageBreak/>
        <w:t>VIII.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MEKANISME PERMOHONAN INFORMASI PUBLIK </w:t>
      </w:r>
    </w:p>
    <w:p w:rsidR="00C06936" w:rsidRDefault="000A58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datang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desk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mengisi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formulir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0" w:lineRule="exact"/>
        <w:ind w:left="1080" w:right="610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melampirkan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fotocopy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KTP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pengguna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Tanda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Bukti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Penerimaan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kepada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memproses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sesuai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formulir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ditandatangani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menyerahkan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sesuai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yang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diminta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1080" w:right="610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pengguna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. 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Jika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yang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diminta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masuk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kategori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dikecualikan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PPID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menyampaikan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alasan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sesuai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ketentuan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berlaku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Tanda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Bukti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/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pengguna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ahoma" w:hAnsi="Tahoma" w:cs="Times New Roman"/>
          <w:color w:val="000000"/>
          <w:sz w:val="24"/>
          <w:szCs w:val="24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 xml:space="preserve">IX.     JANGKA WAKTU PENYELESAIAN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gramStart"/>
      <w:r>
        <w:rPr>
          <w:rFonts w:ascii="Tahoma" w:hAnsi="Tahoma" w:cs="Times New Roman"/>
          <w:color w:val="000000"/>
          <w:sz w:val="24"/>
          <w:szCs w:val="24"/>
        </w:rPr>
        <w:t xml:space="preserve">Proses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penyelesaian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untuk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dilakukan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setelah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persyaratan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ditentukan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Waktu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penyelesaian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dilaksanakan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paling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lambat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10 (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sepuluh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kerja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sejak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3" w:lineRule="exact"/>
        <w:ind w:left="108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diterimanya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Pejabat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Pengelola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(PPID)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menyampaikan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pemberitahuan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yang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berisikan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diminta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dibawah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penguasaannya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atau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PPID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memperpanjang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waktu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paling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lambat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7 (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tujuh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kerja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Penyampaian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/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pendistribusian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/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0" w:lineRule="exact"/>
        <w:ind w:left="1080" w:right="15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dilakukan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secara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langsung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email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ataupun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jasa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pos.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before="255"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X.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BIAYA TARIF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proofErr w:type="gramStart"/>
      <w:r>
        <w:rPr>
          <w:rFonts w:ascii="Tahoma" w:hAnsi="Tahoma" w:cs="Times New Roman"/>
          <w:color w:val="000000"/>
          <w:sz w:val="24"/>
          <w:szCs w:val="24"/>
        </w:rPr>
        <w:t xml:space="preserve">PPID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menyediakan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secara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gratis (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dipungut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biaya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mengakses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website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tersedia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90" w:lineRule="exact"/>
        <w:ind w:left="720" w:right="607"/>
        <w:jc w:val="both"/>
        <w:rPr>
          <w:rFonts w:ascii="Tahoma" w:hAnsi="Tahoma" w:cs="Times New Roman"/>
          <w:color w:val="000000"/>
          <w:sz w:val="24"/>
          <w:szCs w:val="24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right="607"/>
        <w:jc w:val="both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>XI.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   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LAPORAN OPERASIOANAL LAYANAN INFORMASI PUBLIK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1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Pengelolaan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hasil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transaksi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penyelenggaraan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dilakukan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pembuatan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laporan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tahunan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setiap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tahun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membuat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laporan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hasil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disampaikan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Pejabat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Pengelola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(PPID)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Utama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Komisi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Provinsi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Laporan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tersebut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memuat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mengenai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sudah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dipenuhi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tindak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lanjut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belum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dipenuhi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penolakan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disertai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alasan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penolakannya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waktu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diperlukan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setiap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sesuai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ketentuan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diatur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peraturan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perundang-undangan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.</w:t>
      </w:r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before="255"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XII.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KEBERATAN ATAS PEMBERIAN INFORMASI PUBLIK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Setiap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mengajukan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keberatan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secara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tertulis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kepada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atasan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Pejabat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Pengelola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alasan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berikut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: </w:t>
      </w:r>
    </w:p>
    <w:p w:rsidR="00C06936" w:rsidRDefault="000A585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Penolakan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atas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alasan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pengecualian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300" w:lineRule="exact"/>
        <w:ind w:left="108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sebagaimana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dimaksud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peraturan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perundang-undangan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berlaku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.; </w:t>
      </w:r>
    </w:p>
    <w:p w:rsidR="00C06936" w:rsidRDefault="000A585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disediakannya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berkala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sebagaimana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dimaksud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Pasal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9; </w:t>
      </w:r>
    </w:p>
    <w:p w:rsidR="00C06936" w:rsidRDefault="000A585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ditanggapinya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ditanggapi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sebagaimana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diminta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dipenuhinya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Pengenaan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biaya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wajar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/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atau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Penyampaian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melebihi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waktu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diatur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-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left="1080" w:right="15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.</w:t>
      </w:r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rPr>
          <w:rFonts w:ascii="Tahoma" w:hAnsi="Tahoma" w:cs="Times New Roman"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color w:val="000000"/>
          <w:sz w:val="24"/>
          <w:szCs w:val="24"/>
        </w:rPr>
        <w:br w:type="page"/>
      </w:r>
    </w:p>
    <w:p w:rsidR="00C06936" w:rsidRDefault="000A585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XII.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PENUTUP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Sebagai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senantiasa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kualitas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terutama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akses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bagi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masyarakat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memperoleh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memadai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.</w:t>
      </w:r>
      <w:r>
        <w:rPr>
          <w:rFonts w:ascii="Tahoma" w:hAnsi="Tahoma" w:cs="Times New Roman"/>
          <w:b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SOP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PPID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wajib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dijadikan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pedoman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bagi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semua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Tim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Pelaksana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PPID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menyelenggarakan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pengelolaan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pendokumentasian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pengaduan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penyelesaian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sengketa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left="5650" w:right="-38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    PPID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362B53">
        <w:rPr>
          <w:rFonts w:ascii="Tahoma" w:hAnsi="Tahoma" w:cs="Times New Roman"/>
          <w:color w:val="000000"/>
          <w:sz w:val="24"/>
          <w:szCs w:val="24"/>
        </w:rPr>
        <w:t>Rogotrunan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Pr="00362B53" w:rsidRDefault="00362B53" w:rsidP="00362B53">
      <w:pPr>
        <w:widowControl w:val="0"/>
        <w:autoSpaceDE w:val="0"/>
        <w:autoSpaceDN w:val="0"/>
        <w:adjustRightInd w:val="0"/>
        <w:spacing w:after="0" w:line="285" w:lineRule="exact"/>
        <w:ind w:right="-38" w:firstLine="5103"/>
        <w:rPr>
          <w:rFonts w:ascii="Tahoma" w:hAnsi="Tahoma" w:cs="Times New Roman"/>
          <w:b/>
          <w:color w:val="000000"/>
          <w:sz w:val="24"/>
          <w:szCs w:val="24"/>
          <w:u w:val="single"/>
          <w:lang w:val="id-ID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ab/>
      </w:r>
      <w:r>
        <w:rPr>
          <w:rFonts w:ascii="Tahoma" w:hAnsi="Tahoma" w:cs="Times New Roman"/>
          <w:b/>
          <w:color w:val="000000"/>
          <w:sz w:val="24"/>
          <w:szCs w:val="24"/>
          <w:u w:val="single"/>
          <w:lang w:val="id-ID"/>
        </w:rPr>
        <w:t>RICKY DHARMA PUTRA, S.STP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Pr="00362B53" w:rsidRDefault="000A585F" w:rsidP="00362B53">
      <w:pPr>
        <w:widowControl w:val="0"/>
        <w:autoSpaceDE w:val="0"/>
        <w:autoSpaceDN w:val="0"/>
        <w:adjustRightInd w:val="0"/>
        <w:spacing w:after="0" w:line="285" w:lineRule="exact"/>
        <w:ind w:left="5529" w:right="-38" w:hanging="142"/>
        <w:rPr>
          <w:rFonts w:ascii="Tahoma" w:hAnsi="Tahoma" w:cs="Times New Roman"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NIP. </w:t>
      </w:r>
      <w:r w:rsidR="00362B53">
        <w:rPr>
          <w:rFonts w:ascii="Tahoma" w:hAnsi="Tahoma" w:cs="Times New Roman"/>
          <w:color w:val="000000"/>
          <w:sz w:val="24"/>
          <w:szCs w:val="24"/>
          <w:lang w:val="id-ID"/>
        </w:rPr>
        <w:t>19910128 201206 1 001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6936">
      <w:pgSz w:w="12240" w:h="20160"/>
      <w:pgMar w:top="1423" w:right="720" w:bottom="65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F1" w:rsidRDefault="004477F1">
      <w:pPr>
        <w:spacing w:line="240" w:lineRule="auto"/>
      </w:pPr>
      <w:r>
        <w:separator/>
      </w:r>
    </w:p>
  </w:endnote>
  <w:endnote w:type="continuationSeparator" w:id="0">
    <w:p w:rsidR="004477F1" w:rsidRDefault="00447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F1" w:rsidRDefault="004477F1">
      <w:pPr>
        <w:spacing w:after="0"/>
      </w:pPr>
      <w:r>
        <w:separator/>
      </w:r>
    </w:p>
  </w:footnote>
  <w:footnote w:type="continuationSeparator" w:id="0">
    <w:p w:rsidR="004477F1" w:rsidRDefault="004477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lvl w:ilvl="0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3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3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3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3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3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3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3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82D"/>
    <w:multiLevelType w:val="multilevel"/>
    <w:tmpl w:val="0000082D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F54"/>
    <w:multiLevelType w:val="multilevel"/>
    <w:tmpl w:val="00001F5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D63"/>
    <w:multiLevelType w:val="multilevel"/>
    <w:tmpl w:val="00003D63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49F2"/>
    <w:multiLevelType w:val="multilevel"/>
    <w:tmpl w:val="000049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6948"/>
    <w:multiLevelType w:val="multilevel"/>
    <w:tmpl w:val="00006948"/>
    <w:lvl w:ilvl="0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699B"/>
    <w:multiLevelType w:val="multilevel"/>
    <w:tmpl w:val="0000699B"/>
    <w:lvl w:ilvl="0">
      <w:start w:val="22"/>
      <w:numFmt w:val="upperLetter"/>
      <w:lvlText w:val="%1."/>
      <w:lvlJc w:val="left"/>
      <w:pPr>
        <w:ind w:left="722" w:hanging="360"/>
      </w:pPr>
      <w:rPr>
        <w:rFonts w:cs="Times New Roman" w:hint="default"/>
      </w:rPr>
    </w:lvl>
    <w:lvl w:ilvl="1">
      <w:start w:val="22"/>
      <w:numFmt w:val="upperLetter"/>
      <w:lvlText w:val="%2."/>
      <w:lvlJc w:val="left"/>
      <w:pPr>
        <w:ind w:left="722" w:hanging="360"/>
      </w:pPr>
      <w:rPr>
        <w:rFonts w:cs="Times New Roman" w:hint="default"/>
      </w:rPr>
    </w:lvl>
    <w:lvl w:ilvl="2">
      <w:start w:val="22"/>
      <w:numFmt w:val="upperLetter"/>
      <w:lvlText w:val="%3."/>
      <w:lvlJc w:val="left"/>
      <w:pPr>
        <w:ind w:left="722" w:hanging="360"/>
      </w:pPr>
      <w:rPr>
        <w:rFonts w:cs="Times New Roman" w:hint="default"/>
      </w:rPr>
    </w:lvl>
    <w:lvl w:ilvl="3">
      <w:start w:val="22"/>
      <w:numFmt w:val="upperLetter"/>
      <w:lvlText w:val="%4."/>
      <w:lvlJc w:val="left"/>
      <w:pPr>
        <w:ind w:left="722" w:hanging="360"/>
      </w:pPr>
      <w:rPr>
        <w:rFonts w:cs="Times New Roman" w:hint="default"/>
      </w:rPr>
    </w:lvl>
    <w:lvl w:ilvl="4">
      <w:start w:val="22"/>
      <w:numFmt w:val="upperLetter"/>
      <w:lvlText w:val="%5."/>
      <w:lvlJc w:val="left"/>
      <w:pPr>
        <w:ind w:left="722" w:hanging="360"/>
      </w:pPr>
      <w:rPr>
        <w:rFonts w:cs="Times New Roman" w:hint="default"/>
      </w:rPr>
    </w:lvl>
    <w:lvl w:ilvl="5">
      <w:start w:val="22"/>
      <w:numFmt w:val="upperLetter"/>
      <w:lvlText w:val="%6."/>
      <w:lvlJc w:val="left"/>
      <w:pPr>
        <w:ind w:left="722" w:hanging="360"/>
      </w:pPr>
      <w:rPr>
        <w:rFonts w:cs="Times New Roman" w:hint="default"/>
      </w:rPr>
    </w:lvl>
    <w:lvl w:ilvl="6">
      <w:start w:val="22"/>
      <w:numFmt w:val="upperLetter"/>
      <w:lvlText w:val="%7."/>
      <w:lvlJc w:val="left"/>
      <w:pPr>
        <w:ind w:left="722" w:hanging="360"/>
      </w:pPr>
      <w:rPr>
        <w:rFonts w:cs="Times New Roman" w:hint="default"/>
      </w:rPr>
    </w:lvl>
    <w:lvl w:ilvl="7">
      <w:start w:val="22"/>
      <w:numFmt w:val="upperLetter"/>
      <w:lvlText w:val="%8."/>
      <w:lvlJc w:val="left"/>
      <w:pPr>
        <w:ind w:left="722" w:hanging="360"/>
      </w:pPr>
      <w:rPr>
        <w:rFonts w:cs="Times New Roman" w:hint="default"/>
      </w:rPr>
    </w:lvl>
    <w:lvl w:ilvl="8">
      <w:start w:val="22"/>
      <w:numFmt w:val="upperLetter"/>
      <w:lvlText w:val="%9."/>
      <w:lvlJc w:val="left"/>
      <w:pPr>
        <w:ind w:left="722" w:hanging="360"/>
      </w:pPr>
      <w:rPr>
        <w:rFonts w:cs="Times New Roman" w:hint="default"/>
      </w:rPr>
    </w:lvl>
  </w:abstractNum>
  <w:abstractNum w:abstractNumId="7">
    <w:nsid w:val="00006E27"/>
    <w:multiLevelType w:val="multilevel"/>
    <w:tmpl w:val="00006E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8AAD"/>
    <w:multiLevelType w:val="multilevel"/>
    <w:tmpl w:val="00008AAD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9E99"/>
    <w:multiLevelType w:val="multilevel"/>
    <w:tmpl w:val="00009E99"/>
    <w:lvl w:ilvl="0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3C0"/>
    <w:multiLevelType w:val="multilevel"/>
    <w:tmpl w:val="0000A3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B692"/>
    <w:multiLevelType w:val="multilevel"/>
    <w:tmpl w:val="0000B69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EF2E"/>
    <w:multiLevelType w:val="multilevel"/>
    <w:tmpl w:val="0000EF2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0EC6"/>
    <w:multiLevelType w:val="multilevel"/>
    <w:tmpl w:val="00010EC6"/>
    <w:lvl w:ilvl="0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11E4"/>
    <w:multiLevelType w:val="multilevel"/>
    <w:tmpl w:val="000111E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2390"/>
    <w:multiLevelType w:val="multilevel"/>
    <w:tmpl w:val="000123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4505"/>
    <w:multiLevelType w:val="multilevel"/>
    <w:tmpl w:val="00014505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4BD2"/>
    <w:multiLevelType w:val="multilevel"/>
    <w:tmpl w:val="00014B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4ECA"/>
    <w:multiLevelType w:val="multilevel"/>
    <w:tmpl w:val="00014EC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54F0"/>
    <w:multiLevelType w:val="multilevel"/>
    <w:tmpl w:val="00015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68BB"/>
    <w:multiLevelType w:val="multilevel"/>
    <w:tmpl w:val="000168BB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70BE"/>
    <w:multiLevelType w:val="multilevel"/>
    <w:tmpl w:val="000170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7425"/>
    <w:multiLevelType w:val="multilevel"/>
    <w:tmpl w:val="00017425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82A2"/>
    <w:multiLevelType w:val="multilevel"/>
    <w:tmpl w:val="000182A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2EAD601C"/>
    <w:multiLevelType w:val="multilevel"/>
    <w:tmpl w:val="2EAD601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11"/>
  </w:num>
  <w:num w:numId="5">
    <w:abstractNumId w:val="23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15"/>
  </w:num>
  <w:num w:numId="13">
    <w:abstractNumId w:val="21"/>
  </w:num>
  <w:num w:numId="14">
    <w:abstractNumId w:val="18"/>
  </w:num>
  <w:num w:numId="15">
    <w:abstractNumId w:val="22"/>
  </w:num>
  <w:num w:numId="16">
    <w:abstractNumId w:val="2"/>
  </w:num>
  <w:num w:numId="17">
    <w:abstractNumId w:val="7"/>
  </w:num>
  <w:num w:numId="18">
    <w:abstractNumId w:val="1"/>
  </w:num>
  <w:num w:numId="19">
    <w:abstractNumId w:val="16"/>
  </w:num>
  <w:num w:numId="20">
    <w:abstractNumId w:val="20"/>
  </w:num>
  <w:num w:numId="21">
    <w:abstractNumId w:val="3"/>
  </w:num>
  <w:num w:numId="22">
    <w:abstractNumId w:val="17"/>
  </w:num>
  <w:num w:numId="23">
    <w:abstractNumId w:val="4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671E1"/>
    <w:rsid w:val="000A585F"/>
    <w:rsid w:val="000C172F"/>
    <w:rsid w:val="00126B2A"/>
    <w:rsid w:val="00157E64"/>
    <w:rsid w:val="00164407"/>
    <w:rsid w:val="001972E1"/>
    <w:rsid w:val="001E2F18"/>
    <w:rsid w:val="0020688F"/>
    <w:rsid w:val="00220621"/>
    <w:rsid w:val="00242E1D"/>
    <w:rsid w:val="00253235"/>
    <w:rsid w:val="003403DD"/>
    <w:rsid w:val="00362B53"/>
    <w:rsid w:val="003E5BF6"/>
    <w:rsid w:val="004477F1"/>
    <w:rsid w:val="004921C0"/>
    <w:rsid w:val="0049706E"/>
    <w:rsid w:val="004A19DB"/>
    <w:rsid w:val="0057135F"/>
    <w:rsid w:val="005A6FB9"/>
    <w:rsid w:val="005B2FB1"/>
    <w:rsid w:val="005C3A27"/>
    <w:rsid w:val="005C7D01"/>
    <w:rsid w:val="005D0CA2"/>
    <w:rsid w:val="00626F57"/>
    <w:rsid w:val="006349D7"/>
    <w:rsid w:val="006F10CA"/>
    <w:rsid w:val="007077E0"/>
    <w:rsid w:val="00777BA4"/>
    <w:rsid w:val="007836D8"/>
    <w:rsid w:val="00792DEC"/>
    <w:rsid w:val="007B2DBA"/>
    <w:rsid w:val="007D3F23"/>
    <w:rsid w:val="00810AE2"/>
    <w:rsid w:val="008732C3"/>
    <w:rsid w:val="00886C53"/>
    <w:rsid w:val="00897630"/>
    <w:rsid w:val="008A2C9D"/>
    <w:rsid w:val="00922A4D"/>
    <w:rsid w:val="0093690E"/>
    <w:rsid w:val="00972605"/>
    <w:rsid w:val="009E7DE7"/>
    <w:rsid w:val="00A04A07"/>
    <w:rsid w:val="00A17229"/>
    <w:rsid w:val="00A26926"/>
    <w:rsid w:val="00B24AE7"/>
    <w:rsid w:val="00B94E9B"/>
    <w:rsid w:val="00BA74FA"/>
    <w:rsid w:val="00BD56B2"/>
    <w:rsid w:val="00BE668E"/>
    <w:rsid w:val="00BF650B"/>
    <w:rsid w:val="00C06936"/>
    <w:rsid w:val="00C3049C"/>
    <w:rsid w:val="00C972D0"/>
    <w:rsid w:val="00D0318E"/>
    <w:rsid w:val="00D571F0"/>
    <w:rsid w:val="00D758BF"/>
    <w:rsid w:val="00D8237C"/>
    <w:rsid w:val="00D91621"/>
    <w:rsid w:val="00E0525C"/>
    <w:rsid w:val="00E97733"/>
    <w:rsid w:val="00EB0387"/>
    <w:rsid w:val="00F6748B"/>
    <w:rsid w:val="00FF31AB"/>
    <w:rsid w:val="00FF711B"/>
    <w:rsid w:val="04A02ABD"/>
    <w:rsid w:val="1AC32D5A"/>
    <w:rsid w:val="29730663"/>
    <w:rsid w:val="5A1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F222-6345-4BA6-9F19-9E2D0684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2023-06-26T03:47:00Z</cp:lastPrinted>
  <dcterms:created xsi:type="dcterms:W3CDTF">2023-06-26T03:50:00Z</dcterms:created>
  <dcterms:modified xsi:type="dcterms:W3CDTF">2023-06-26T04:08:00Z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1057-11.2.0.11486</vt:lpwstr>
  </property>
  <property fmtid="{D5CDD505-2E9C-101B-9397-08002B2CF9AE}" pid="3" name="ICV">
    <vt:lpwstr>44575D2F8F724215867FE7A09BBACD4E</vt:lpwstr>
  </property>
</Properties>
</file>